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>Žádný ze skutečných majitelů dodavatele a poddodavatelů neodporuje ustanovení § 4b zákona 159/2006 Sb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150C33C5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Lipíže - Regenerace stávajících zdrojů L5 a L6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8E387C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bookmarkStart w:id="0" w:name="_GoBack"/>
      <w:bookmarkEnd w:id="0"/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24588C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19.06.2024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6A044333" w14:textId="02C7AEB1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247F9DD" w14:textId="1FDD6F84" w:rsidR="00006ED5" w:rsidRPr="00D25EE5" w:rsidRDefault="00E844D4" w:rsidP="00880002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6574B7A0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8E387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8E387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4588C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0002"/>
    <w:rsid w:val="00885383"/>
    <w:rsid w:val="00887EA9"/>
    <w:rsid w:val="008B0755"/>
    <w:rsid w:val="008E387C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Kořínková Jitka</cp:lastModifiedBy>
  <cp:revision>11</cp:revision>
  <dcterms:created xsi:type="dcterms:W3CDTF">2020-02-29T18:47:00Z</dcterms:created>
  <dcterms:modified xsi:type="dcterms:W3CDTF">2024-06-13T08:15:00Z</dcterms:modified>
</cp:coreProperties>
</file>